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33C" w:rsidRPr="005834F2" w:rsidRDefault="00B2233C" w:rsidP="005834F2"/>
    <w:p w:rsidR="005834F2" w:rsidRPr="005834F2" w:rsidRDefault="00B2233C" w:rsidP="005834F2">
      <w:pPr>
        <w:pStyle w:val="2"/>
        <w:rPr>
          <w:sz w:val="24"/>
        </w:rPr>
      </w:pPr>
      <w:r w:rsidRPr="005834F2">
        <w:rPr>
          <w:sz w:val="24"/>
        </w:rPr>
        <w:t>АДМИНИСТРАЦИЯ</w:t>
      </w:r>
    </w:p>
    <w:p w:rsidR="00B2233C" w:rsidRPr="005834F2" w:rsidRDefault="005834F2" w:rsidP="005834F2">
      <w:pPr>
        <w:pStyle w:val="2"/>
        <w:rPr>
          <w:sz w:val="24"/>
        </w:rPr>
      </w:pPr>
      <w:r w:rsidRPr="005834F2">
        <w:rPr>
          <w:sz w:val="24"/>
        </w:rPr>
        <w:t>ОКТЯБРЬСКОГО СЕЛЬСКОГО</w:t>
      </w:r>
      <w:r w:rsidR="001768BA" w:rsidRPr="005834F2">
        <w:rPr>
          <w:sz w:val="24"/>
        </w:rPr>
        <w:t xml:space="preserve">  ПОСЕЛЕНИЯ</w:t>
      </w:r>
    </w:p>
    <w:p w:rsidR="005834F2" w:rsidRPr="005834F2" w:rsidRDefault="001768BA" w:rsidP="005834F2">
      <w:pPr>
        <w:jc w:val="center"/>
        <w:rPr>
          <w:b/>
        </w:rPr>
      </w:pPr>
      <w:r w:rsidRPr="005834F2">
        <w:rPr>
          <w:b/>
        </w:rPr>
        <w:t>ПАНИНСКОГО МУНИЦИПАЛЬНОГО РАЙОНА</w:t>
      </w:r>
    </w:p>
    <w:p w:rsidR="001768BA" w:rsidRPr="005834F2" w:rsidRDefault="001768BA" w:rsidP="005834F2">
      <w:pPr>
        <w:jc w:val="center"/>
        <w:rPr>
          <w:b/>
        </w:rPr>
      </w:pPr>
      <w:r w:rsidRPr="005834F2">
        <w:rPr>
          <w:b/>
        </w:rPr>
        <w:t>ВОРОНЕЖСКОЙ ОБЛАСТИ</w:t>
      </w:r>
    </w:p>
    <w:p w:rsidR="00B2233C" w:rsidRPr="005834F2" w:rsidRDefault="00B2233C" w:rsidP="005834F2">
      <w:pPr>
        <w:pStyle w:val="1"/>
        <w:rPr>
          <w:sz w:val="24"/>
        </w:rPr>
      </w:pPr>
    </w:p>
    <w:p w:rsidR="00B2233C" w:rsidRPr="005834F2" w:rsidRDefault="00B2233C" w:rsidP="00B2233C">
      <w:pPr>
        <w:pStyle w:val="1"/>
        <w:rPr>
          <w:sz w:val="24"/>
        </w:rPr>
      </w:pPr>
      <w:bookmarkStart w:id="0" w:name="_GoBack"/>
      <w:r w:rsidRPr="005834F2">
        <w:rPr>
          <w:sz w:val="24"/>
        </w:rPr>
        <w:t>ПОСТАНОВЛЕНИЕ</w:t>
      </w:r>
    </w:p>
    <w:p w:rsidR="00B2233C" w:rsidRDefault="00B2233C" w:rsidP="00B2233C"/>
    <w:p w:rsidR="00B2233C" w:rsidRPr="005834F2" w:rsidRDefault="00EA4358" w:rsidP="00B2233C">
      <w:pPr>
        <w:rPr>
          <w:u w:val="single"/>
        </w:rPr>
      </w:pPr>
      <w:r>
        <w:rPr>
          <w:u w:val="single"/>
        </w:rPr>
        <w:t>от 23</w:t>
      </w:r>
      <w:r w:rsidR="005834F2" w:rsidRPr="005834F2">
        <w:rPr>
          <w:u w:val="single"/>
        </w:rPr>
        <w:t xml:space="preserve"> декабря 2014 года    </w:t>
      </w:r>
      <w:r>
        <w:rPr>
          <w:u w:val="single"/>
        </w:rPr>
        <w:t>№ 75</w:t>
      </w:r>
      <w:r w:rsidR="005834F2" w:rsidRPr="005834F2">
        <w:rPr>
          <w:u w:val="single"/>
        </w:rPr>
        <w:t xml:space="preserve"> </w:t>
      </w:r>
    </w:p>
    <w:p w:rsidR="00B2233C" w:rsidRDefault="00B2233C" w:rsidP="00B2233C">
      <w:pPr>
        <w:jc w:val="both"/>
        <w:rPr>
          <w:sz w:val="20"/>
        </w:rPr>
      </w:pPr>
      <w:r>
        <w:rPr>
          <w:sz w:val="20"/>
        </w:rPr>
        <w:t xml:space="preserve">              </w:t>
      </w:r>
      <w:r w:rsidR="005834F2">
        <w:rPr>
          <w:sz w:val="20"/>
        </w:rPr>
        <w:t>п. Октябрьский</w:t>
      </w:r>
    </w:p>
    <w:p w:rsidR="00B2233C" w:rsidRDefault="00B2233C" w:rsidP="00B2233C">
      <w:pPr>
        <w:jc w:val="both"/>
        <w:rPr>
          <w:sz w:val="20"/>
        </w:rPr>
      </w:pPr>
    </w:p>
    <w:p w:rsidR="00B2233C" w:rsidRDefault="00B2233C" w:rsidP="00B2233C">
      <w:pPr>
        <w:jc w:val="both"/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</w:tblGrid>
      <w:tr w:rsidR="00B2233C" w:rsidTr="00113579">
        <w:tc>
          <w:tcPr>
            <w:tcW w:w="3652" w:type="dxa"/>
          </w:tcPr>
          <w:p w:rsidR="00B2233C" w:rsidRPr="000F2D71" w:rsidRDefault="00B2233C" w:rsidP="00113579">
            <w:pPr>
              <w:jc w:val="both"/>
              <w:rPr>
                <w:sz w:val="26"/>
                <w:szCs w:val="26"/>
              </w:rPr>
            </w:pPr>
          </w:p>
        </w:tc>
      </w:tr>
    </w:tbl>
    <w:p w:rsidR="00EA4358" w:rsidRDefault="009058B2" w:rsidP="00EB7C35">
      <w:pPr>
        <w:rPr>
          <w:rStyle w:val="a9"/>
          <w:color w:val="auto"/>
          <w:u w:val="none"/>
        </w:rPr>
      </w:pPr>
      <w:r w:rsidRPr="009058B2">
        <w:fldChar w:fldCharType="begin"/>
      </w:r>
      <w:r w:rsidRPr="009058B2">
        <w:instrText xml:space="preserve"> HYPERLINK "garantf1://18029845.0" </w:instrText>
      </w:r>
      <w:r w:rsidRPr="009058B2">
        <w:fldChar w:fldCharType="separate"/>
      </w:r>
      <w:r w:rsidRPr="009058B2">
        <w:rPr>
          <w:rStyle w:val="a9"/>
          <w:color w:val="auto"/>
          <w:u w:val="none"/>
        </w:rPr>
        <w:t>О размере вреда, причиняемого транспортными</w:t>
      </w:r>
      <w:r>
        <w:rPr>
          <w:rStyle w:val="a9"/>
          <w:color w:val="auto"/>
          <w:u w:val="none"/>
        </w:rPr>
        <w:t xml:space="preserve">                                                                     </w:t>
      </w:r>
      <w:r w:rsidRPr="009058B2">
        <w:rPr>
          <w:rStyle w:val="a9"/>
          <w:color w:val="auto"/>
          <w:u w:val="none"/>
        </w:rPr>
        <w:t xml:space="preserve"> средствами, осуществляющими перевозки </w:t>
      </w:r>
      <w:r>
        <w:rPr>
          <w:rStyle w:val="a9"/>
          <w:color w:val="auto"/>
          <w:u w:val="none"/>
        </w:rPr>
        <w:t xml:space="preserve">                                                                        </w:t>
      </w:r>
      <w:r w:rsidRPr="009058B2">
        <w:rPr>
          <w:rStyle w:val="a9"/>
          <w:color w:val="auto"/>
          <w:u w:val="none"/>
        </w:rPr>
        <w:t>тяжеловесных грузов по автомобильным дорогам</w:t>
      </w:r>
      <w:r>
        <w:rPr>
          <w:rStyle w:val="a9"/>
          <w:color w:val="auto"/>
          <w:u w:val="none"/>
        </w:rPr>
        <w:t xml:space="preserve">                                                                   </w:t>
      </w:r>
      <w:r w:rsidRPr="009058B2">
        <w:rPr>
          <w:rStyle w:val="a9"/>
          <w:color w:val="auto"/>
          <w:u w:val="none"/>
        </w:rPr>
        <w:t xml:space="preserve"> </w:t>
      </w:r>
      <w:r w:rsidR="00EB7C35">
        <w:rPr>
          <w:rStyle w:val="a9"/>
          <w:color w:val="auto"/>
          <w:u w:val="none"/>
        </w:rPr>
        <w:t xml:space="preserve">общего пользования </w:t>
      </w:r>
      <w:r w:rsidRPr="009058B2">
        <w:rPr>
          <w:rStyle w:val="a9"/>
          <w:color w:val="auto"/>
          <w:u w:val="none"/>
        </w:rPr>
        <w:t xml:space="preserve">местного значения </w:t>
      </w:r>
      <w:r w:rsidR="00EA4358">
        <w:rPr>
          <w:rStyle w:val="a9"/>
          <w:color w:val="auto"/>
          <w:u w:val="none"/>
        </w:rPr>
        <w:t>в границах</w:t>
      </w:r>
    </w:p>
    <w:p w:rsidR="009058B2" w:rsidRDefault="00EA4358" w:rsidP="00EB7C35">
      <w:r>
        <w:rPr>
          <w:rStyle w:val="a9"/>
          <w:color w:val="auto"/>
          <w:u w:val="none"/>
        </w:rPr>
        <w:t xml:space="preserve">населенных пунктов </w:t>
      </w:r>
      <w:r w:rsidR="00EB7C35">
        <w:rPr>
          <w:rStyle w:val="a9"/>
          <w:color w:val="auto"/>
          <w:u w:val="none"/>
        </w:rPr>
        <w:t>Октябрьского</w:t>
      </w:r>
      <w:r w:rsidR="009058B2" w:rsidRPr="009058B2">
        <w:fldChar w:fldCharType="end"/>
      </w:r>
    </w:p>
    <w:p w:rsidR="00EB7C35" w:rsidRPr="009058B2" w:rsidRDefault="00EB7C35" w:rsidP="00EB7C35">
      <w:pPr>
        <w:rPr>
          <w:b/>
          <w:bCs/>
        </w:rPr>
      </w:pPr>
      <w:r>
        <w:t>сельского поселения</w:t>
      </w:r>
    </w:p>
    <w:bookmarkEnd w:id="0"/>
    <w:p w:rsidR="009058B2" w:rsidRDefault="009058B2" w:rsidP="009058B2">
      <w:pPr>
        <w:ind w:firstLine="720"/>
        <w:jc w:val="both"/>
      </w:pPr>
    </w:p>
    <w:p w:rsidR="009058B2" w:rsidRPr="00E50055" w:rsidRDefault="009058B2" w:rsidP="009058B2">
      <w:pPr>
        <w:ind w:firstLine="720"/>
        <w:jc w:val="both"/>
      </w:pPr>
      <w:r w:rsidRPr="00E50055">
        <w:t xml:space="preserve">В соответствии с </w:t>
      </w:r>
      <w:hyperlink r:id="rId5" w:history="1">
        <w:r w:rsidRPr="00E50055">
          <w:rPr>
            <w:rStyle w:val="a9"/>
            <w:color w:val="auto"/>
            <w:u w:val="none"/>
          </w:rPr>
          <w:t>ч. 9 ст. 31</w:t>
        </w:r>
      </w:hyperlink>
      <w:r w:rsidRPr="00E50055">
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</w:t>
      </w:r>
      <w:hyperlink r:id="rId6" w:history="1">
        <w:r w:rsidRPr="00E50055">
          <w:rPr>
            <w:rStyle w:val="a9"/>
            <w:color w:val="auto"/>
            <w:u w:val="none"/>
          </w:rPr>
          <w:t>постановлением</w:t>
        </w:r>
      </w:hyperlink>
      <w:r w:rsidRPr="00E50055">
        <w:t xml:space="preserve"> Правительства Российской Федерации от 16.11.2009 № 934 «О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Федерации», </w:t>
      </w:r>
      <w:r w:rsidR="00E50055">
        <w:t xml:space="preserve">постановления правительства Воронежской области от 25.02.2010 </w:t>
      </w:r>
      <w:r w:rsidR="00E50055" w:rsidRPr="00E50055">
        <w:t xml:space="preserve">«О возмещении вреда, причиняемого транспортными средствами, осуществляющими перевозки тяжеловесных грузов по автомобильным дорогам </w:t>
      </w:r>
      <w:r w:rsidR="00E50055">
        <w:t>местного значения Воронежской области</w:t>
      </w:r>
      <w:r w:rsidR="00E50055" w:rsidRPr="00E50055">
        <w:t>»</w:t>
      </w:r>
      <w:r w:rsidR="00E50055">
        <w:t xml:space="preserve"> </w:t>
      </w:r>
      <w:r w:rsidRPr="00E50055">
        <w:t>администрация Октябрьского сельского поселения</w:t>
      </w:r>
    </w:p>
    <w:p w:rsidR="009058B2" w:rsidRPr="00E50055" w:rsidRDefault="009058B2" w:rsidP="009058B2">
      <w:pPr>
        <w:jc w:val="center"/>
        <w:rPr>
          <w:sz w:val="26"/>
          <w:szCs w:val="28"/>
        </w:rPr>
      </w:pPr>
      <w:bookmarkStart w:id="1" w:name="sub_1"/>
    </w:p>
    <w:p w:rsidR="009058B2" w:rsidRPr="00E50055" w:rsidRDefault="009058B2" w:rsidP="009058B2">
      <w:pPr>
        <w:jc w:val="center"/>
        <w:rPr>
          <w:b/>
          <w:sz w:val="26"/>
          <w:szCs w:val="28"/>
        </w:rPr>
      </w:pPr>
      <w:r w:rsidRPr="00E50055">
        <w:rPr>
          <w:b/>
          <w:sz w:val="26"/>
          <w:szCs w:val="28"/>
        </w:rPr>
        <w:t>ПОСТАНОВЛЯЕТ:</w:t>
      </w:r>
    </w:p>
    <w:p w:rsidR="009058B2" w:rsidRPr="00E50055" w:rsidRDefault="009058B2" w:rsidP="009058B2">
      <w:pPr>
        <w:ind w:firstLine="720"/>
        <w:jc w:val="both"/>
      </w:pPr>
    </w:p>
    <w:p w:rsidR="00EA4358" w:rsidRPr="00EA4358" w:rsidRDefault="009058B2" w:rsidP="00EA4358">
      <w:pPr>
        <w:ind w:firstLine="720"/>
        <w:jc w:val="both"/>
      </w:pPr>
      <w:r w:rsidRPr="00E50055">
        <w:t xml:space="preserve">1. Определить размер вреда, причиняемого транспортными средствами, </w:t>
      </w:r>
      <w:r w:rsidRPr="00EA4358">
        <w:t xml:space="preserve">осуществляющими перевозки тяжеловесных грузов, при движении таких транспортных средств по автомобильным дорогам регионального или межмуниципального значения Воронежской области, в соответствии с показателями согласно </w:t>
      </w:r>
      <w:hyperlink r:id="rId7" w:anchor="sub_1000" w:history="1">
        <w:r w:rsidRPr="00EA4358">
          <w:rPr>
            <w:rStyle w:val="a9"/>
            <w:color w:val="auto"/>
            <w:u w:val="none"/>
          </w:rPr>
          <w:t>приложению</w:t>
        </w:r>
      </w:hyperlink>
      <w:r w:rsidRPr="00EA4358">
        <w:t>.</w:t>
      </w:r>
      <w:bookmarkStart w:id="2" w:name="sub_3"/>
      <w:bookmarkEnd w:id="1"/>
    </w:p>
    <w:p w:rsidR="00EA4358" w:rsidRPr="00EA4358" w:rsidRDefault="00EA4358" w:rsidP="00EA4358">
      <w:pPr>
        <w:ind w:firstLine="720"/>
        <w:jc w:val="both"/>
      </w:pPr>
      <w:r w:rsidRPr="00EA4358">
        <w:t xml:space="preserve">2. </w:t>
      </w:r>
      <w:r w:rsidRPr="00EA4358">
        <w:rPr>
          <w:kern w:val="28"/>
        </w:rPr>
        <w:t xml:space="preserve">Опубликовать настоящее постановление в периодическом печатном издании «Октябрьский муниципальный вестник» и разместить на официальном сайте администрации Октябрьского сельского поселения Панинского муниципального района: </w:t>
      </w:r>
      <w:hyperlink r:id="rId8" w:history="1">
        <w:r w:rsidRPr="00EA4358">
          <w:rPr>
            <w:rStyle w:val="a9"/>
            <w:color w:val="000000"/>
            <w:kern w:val="28"/>
          </w:rPr>
          <w:t>http://oktyabrsk-p</w:t>
        </w:r>
        <w:r w:rsidRPr="00EA4358">
          <w:rPr>
            <w:rStyle w:val="a9"/>
            <w:color w:val="000000"/>
            <w:kern w:val="28"/>
            <w:lang w:val="en-US"/>
          </w:rPr>
          <w:t>n</w:t>
        </w:r>
        <w:r w:rsidRPr="00EA4358">
          <w:rPr>
            <w:rStyle w:val="a9"/>
            <w:color w:val="000000"/>
            <w:kern w:val="28"/>
          </w:rPr>
          <w:t>.</w:t>
        </w:r>
        <w:proofErr w:type="spellStart"/>
        <w:r w:rsidRPr="00EA4358">
          <w:rPr>
            <w:rStyle w:val="a9"/>
            <w:color w:val="000000"/>
            <w:kern w:val="28"/>
          </w:rPr>
          <w:t>ru</w:t>
        </w:r>
        <w:proofErr w:type="spellEnd"/>
      </w:hyperlink>
      <w:r w:rsidRPr="00EA4358">
        <w:rPr>
          <w:color w:val="000000"/>
          <w:kern w:val="28"/>
        </w:rPr>
        <w:t>.</w:t>
      </w:r>
    </w:p>
    <w:p w:rsidR="009058B2" w:rsidRPr="00EA4358" w:rsidRDefault="009058B2" w:rsidP="009058B2">
      <w:pPr>
        <w:ind w:firstLine="720"/>
        <w:jc w:val="both"/>
      </w:pPr>
      <w:r w:rsidRPr="00EA4358">
        <w:t xml:space="preserve">3. Настоящее постановление вступает в силу по истечении 10 дней с момента его </w:t>
      </w:r>
      <w:hyperlink r:id="rId9" w:history="1">
        <w:r w:rsidRPr="00EA4358">
          <w:rPr>
            <w:rStyle w:val="a9"/>
            <w:color w:val="auto"/>
            <w:u w:val="none"/>
          </w:rPr>
          <w:t>официального опубликования</w:t>
        </w:r>
      </w:hyperlink>
      <w:r w:rsidRPr="00EA4358">
        <w:t>.</w:t>
      </w:r>
    </w:p>
    <w:p w:rsidR="009058B2" w:rsidRPr="00EA4358" w:rsidRDefault="009058B2" w:rsidP="009058B2">
      <w:pPr>
        <w:ind w:firstLine="720"/>
        <w:jc w:val="both"/>
      </w:pPr>
      <w:bookmarkStart w:id="3" w:name="sub_4"/>
      <w:bookmarkEnd w:id="2"/>
      <w:r w:rsidRPr="00EA4358">
        <w:t xml:space="preserve">4. Контроль за исполнением настоящего постановления </w:t>
      </w:r>
      <w:r w:rsidR="00E50055" w:rsidRPr="00EA4358">
        <w:t>оставляю за собой.</w:t>
      </w:r>
    </w:p>
    <w:bookmarkEnd w:id="3"/>
    <w:p w:rsidR="009058B2" w:rsidRPr="00E50055" w:rsidRDefault="009058B2" w:rsidP="009058B2">
      <w:pPr>
        <w:ind w:firstLine="720"/>
        <w:jc w:val="both"/>
      </w:pPr>
    </w:p>
    <w:tbl>
      <w:tblPr>
        <w:tblW w:w="1084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71"/>
        <w:gridCol w:w="3478"/>
      </w:tblGrid>
      <w:tr w:rsidR="00E50055" w:rsidRPr="00E50055" w:rsidTr="009058B2">
        <w:tc>
          <w:tcPr>
            <w:tcW w:w="7371" w:type="dxa"/>
          </w:tcPr>
          <w:p w:rsidR="009058B2" w:rsidRPr="00E50055" w:rsidRDefault="009058B2">
            <w:pPr>
              <w:spacing w:line="276" w:lineRule="auto"/>
              <w:rPr>
                <w:rFonts w:eastAsia="Arial"/>
                <w:lang w:eastAsia="en-US" w:bidi="ru-RU"/>
              </w:rPr>
            </w:pPr>
          </w:p>
          <w:p w:rsidR="009058B2" w:rsidRPr="00E50055" w:rsidRDefault="009058B2">
            <w:pPr>
              <w:spacing w:line="276" w:lineRule="auto"/>
              <w:rPr>
                <w:lang w:eastAsia="en-US"/>
              </w:rPr>
            </w:pPr>
            <w:r w:rsidRPr="00E50055">
              <w:rPr>
                <w:lang w:eastAsia="en-US"/>
              </w:rPr>
              <w:t>Глава Октябрьского</w:t>
            </w:r>
          </w:p>
          <w:p w:rsidR="009058B2" w:rsidRPr="00E50055" w:rsidRDefault="009058B2" w:rsidP="009058B2">
            <w:pPr>
              <w:spacing w:line="276" w:lineRule="auto"/>
              <w:ind w:right="-2376"/>
              <w:rPr>
                <w:lang w:eastAsia="en-US"/>
              </w:rPr>
            </w:pPr>
            <w:r w:rsidRPr="00E50055">
              <w:rPr>
                <w:lang w:eastAsia="en-US"/>
              </w:rPr>
              <w:t>Сельского поселения _________________________Е.В.Снытников</w:t>
            </w:r>
          </w:p>
          <w:p w:rsidR="009058B2" w:rsidRPr="00E50055" w:rsidRDefault="009058B2" w:rsidP="009058B2">
            <w:pPr>
              <w:widowControl w:val="0"/>
              <w:suppressAutoHyphens/>
              <w:autoSpaceDE w:val="0"/>
              <w:spacing w:line="276" w:lineRule="auto"/>
              <w:rPr>
                <w:rFonts w:eastAsia="Arial"/>
                <w:lang w:eastAsia="en-US" w:bidi="ru-RU"/>
              </w:rPr>
            </w:pPr>
            <w:r w:rsidRPr="00E50055">
              <w:rPr>
                <w:lang w:eastAsia="en-US"/>
              </w:rPr>
              <w:t xml:space="preserve"> </w:t>
            </w:r>
          </w:p>
        </w:tc>
        <w:tc>
          <w:tcPr>
            <w:tcW w:w="3478" w:type="dxa"/>
          </w:tcPr>
          <w:p w:rsidR="009058B2" w:rsidRPr="00E50055" w:rsidRDefault="009058B2">
            <w:pPr>
              <w:spacing w:line="276" w:lineRule="auto"/>
              <w:jc w:val="right"/>
              <w:rPr>
                <w:rFonts w:eastAsia="Arial"/>
                <w:lang w:eastAsia="en-US" w:bidi="ru-RU"/>
              </w:rPr>
            </w:pPr>
          </w:p>
          <w:p w:rsidR="009058B2" w:rsidRPr="00E50055" w:rsidRDefault="009058B2">
            <w:pPr>
              <w:spacing w:line="276" w:lineRule="auto"/>
              <w:jc w:val="right"/>
              <w:rPr>
                <w:lang w:eastAsia="en-US"/>
              </w:rPr>
            </w:pPr>
          </w:p>
          <w:p w:rsidR="009058B2" w:rsidRPr="00E50055" w:rsidRDefault="009058B2">
            <w:pPr>
              <w:spacing w:line="276" w:lineRule="auto"/>
              <w:jc w:val="right"/>
              <w:rPr>
                <w:lang w:eastAsia="en-US"/>
              </w:rPr>
            </w:pPr>
          </w:p>
          <w:p w:rsidR="009058B2" w:rsidRPr="00E50055" w:rsidRDefault="009058B2">
            <w:pPr>
              <w:widowControl w:val="0"/>
              <w:suppressAutoHyphens/>
              <w:autoSpaceDE w:val="0"/>
              <w:spacing w:line="276" w:lineRule="auto"/>
              <w:rPr>
                <w:rFonts w:eastAsia="Arial"/>
                <w:lang w:eastAsia="en-US" w:bidi="ru-RU"/>
              </w:rPr>
            </w:pPr>
          </w:p>
        </w:tc>
      </w:tr>
    </w:tbl>
    <w:p w:rsidR="009058B2" w:rsidRPr="00E50055" w:rsidRDefault="009058B2" w:rsidP="009058B2">
      <w:pPr>
        <w:ind w:firstLine="720"/>
        <w:jc w:val="both"/>
        <w:rPr>
          <w:rFonts w:eastAsia="Arial"/>
          <w:lang w:bidi="ru-RU"/>
        </w:rPr>
      </w:pPr>
    </w:p>
    <w:p w:rsidR="009058B2" w:rsidRPr="00E50055" w:rsidRDefault="009058B2" w:rsidP="009058B2">
      <w:pPr>
        <w:ind w:firstLine="698"/>
        <w:jc w:val="right"/>
        <w:rPr>
          <w:b/>
          <w:bCs/>
        </w:rPr>
      </w:pPr>
      <w:bookmarkStart w:id="4" w:name="sub_1000"/>
    </w:p>
    <w:p w:rsidR="009058B2" w:rsidRPr="00E50055" w:rsidRDefault="009058B2" w:rsidP="00EA4358">
      <w:pPr>
        <w:rPr>
          <w:b/>
          <w:bCs/>
        </w:rPr>
      </w:pPr>
    </w:p>
    <w:p w:rsidR="009058B2" w:rsidRPr="00E50055" w:rsidRDefault="009058B2" w:rsidP="009058B2">
      <w:pPr>
        <w:rPr>
          <w:bCs/>
          <w:sz w:val="22"/>
          <w:szCs w:val="22"/>
        </w:rPr>
      </w:pPr>
      <w:r w:rsidRPr="00E50055">
        <w:rPr>
          <w:bCs/>
          <w:sz w:val="22"/>
          <w:szCs w:val="22"/>
        </w:rPr>
        <w:lastRenderedPageBreak/>
        <w:t xml:space="preserve">                     </w:t>
      </w:r>
      <w:r w:rsidR="00E50055" w:rsidRPr="00E50055">
        <w:rPr>
          <w:bCs/>
          <w:sz w:val="22"/>
          <w:szCs w:val="22"/>
        </w:rPr>
        <w:t xml:space="preserve">                         </w:t>
      </w:r>
      <w:r w:rsidRPr="00E50055">
        <w:rPr>
          <w:bCs/>
          <w:sz w:val="22"/>
          <w:szCs w:val="22"/>
        </w:rPr>
        <w:t xml:space="preserve">                                                                                   </w:t>
      </w:r>
      <w:r w:rsidR="00E50055" w:rsidRPr="00E50055">
        <w:rPr>
          <w:bCs/>
          <w:sz w:val="22"/>
          <w:szCs w:val="22"/>
        </w:rPr>
        <w:t xml:space="preserve">         </w:t>
      </w:r>
      <w:r w:rsidRPr="00E50055">
        <w:rPr>
          <w:bCs/>
          <w:sz w:val="22"/>
          <w:szCs w:val="22"/>
        </w:rPr>
        <w:t xml:space="preserve"> Приложение</w:t>
      </w:r>
    </w:p>
    <w:bookmarkEnd w:id="4"/>
    <w:p w:rsidR="009058B2" w:rsidRPr="00E50055" w:rsidRDefault="009058B2" w:rsidP="009058B2">
      <w:pPr>
        <w:ind w:firstLine="698"/>
        <w:jc w:val="right"/>
        <w:rPr>
          <w:bCs/>
          <w:sz w:val="22"/>
          <w:szCs w:val="22"/>
        </w:rPr>
      </w:pPr>
      <w:r w:rsidRPr="00E50055">
        <w:rPr>
          <w:bCs/>
          <w:sz w:val="22"/>
          <w:szCs w:val="22"/>
        </w:rPr>
        <w:t xml:space="preserve">к </w:t>
      </w:r>
      <w:hyperlink r:id="rId10" w:anchor="sub_0" w:history="1">
        <w:r w:rsidRPr="00E50055">
          <w:rPr>
            <w:rStyle w:val="a9"/>
            <w:color w:val="auto"/>
            <w:sz w:val="22"/>
            <w:szCs w:val="22"/>
            <w:u w:val="none"/>
          </w:rPr>
          <w:t>постановлению</w:t>
        </w:r>
      </w:hyperlink>
    </w:p>
    <w:p w:rsidR="009058B2" w:rsidRPr="00E50055" w:rsidRDefault="00E50055" w:rsidP="009058B2">
      <w:pPr>
        <w:ind w:firstLine="698"/>
        <w:jc w:val="right"/>
        <w:rPr>
          <w:bCs/>
          <w:sz w:val="22"/>
          <w:szCs w:val="22"/>
        </w:rPr>
      </w:pPr>
      <w:r w:rsidRPr="00E50055">
        <w:rPr>
          <w:bCs/>
          <w:sz w:val="22"/>
          <w:szCs w:val="22"/>
        </w:rPr>
        <w:t>администрации Октябрьского</w:t>
      </w:r>
    </w:p>
    <w:p w:rsidR="00E50055" w:rsidRPr="00E50055" w:rsidRDefault="00E50055" w:rsidP="009058B2">
      <w:pPr>
        <w:ind w:firstLine="698"/>
        <w:jc w:val="right"/>
        <w:rPr>
          <w:bCs/>
          <w:sz w:val="22"/>
          <w:szCs w:val="22"/>
        </w:rPr>
      </w:pPr>
      <w:r w:rsidRPr="00E50055">
        <w:rPr>
          <w:bCs/>
          <w:sz w:val="22"/>
          <w:szCs w:val="22"/>
        </w:rPr>
        <w:t>сельского поселения</w:t>
      </w:r>
    </w:p>
    <w:p w:rsidR="009058B2" w:rsidRPr="00E50055" w:rsidRDefault="009058B2" w:rsidP="009058B2">
      <w:pPr>
        <w:ind w:firstLine="698"/>
        <w:jc w:val="right"/>
        <w:rPr>
          <w:bCs/>
          <w:sz w:val="22"/>
          <w:szCs w:val="22"/>
        </w:rPr>
      </w:pPr>
      <w:r w:rsidRPr="00E50055">
        <w:rPr>
          <w:bCs/>
          <w:sz w:val="22"/>
          <w:szCs w:val="22"/>
        </w:rPr>
        <w:t xml:space="preserve">от </w:t>
      </w:r>
      <w:r w:rsidR="00E50055" w:rsidRPr="00E50055">
        <w:rPr>
          <w:bCs/>
          <w:sz w:val="22"/>
          <w:szCs w:val="22"/>
        </w:rPr>
        <w:t>23 декабря 2014</w:t>
      </w:r>
      <w:r w:rsidRPr="00E50055">
        <w:rPr>
          <w:bCs/>
          <w:sz w:val="22"/>
          <w:szCs w:val="22"/>
        </w:rPr>
        <w:t xml:space="preserve"> г. №</w:t>
      </w:r>
      <w:r w:rsidR="00E50055" w:rsidRPr="00E50055">
        <w:rPr>
          <w:bCs/>
          <w:sz w:val="22"/>
          <w:szCs w:val="22"/>
        </w:rPr>
        <w:t xml:space="preserve"> 75</w:t>
      </w:r>
    </w:p>
    <w:p w:rsidR="009058B2" w:rsidRPr="00E50055" w:rsidRDefault="009058B2" w:rsidP="009058B2">
      <w:pPr>
        <w:ind w:firstLine="720"/>
        <w:jc w:val="both"/>
      </w:pPr>
    </w:p>
    <w:p w:rsidR="009058B2" w:rsidRPr="00E50055" w:rsidRDefault="009058B2" w:rsidP="00E50055">
      <w:pPr>
        <w:jc w:val="center"/>
        <w:rPr>
          <w:bCs/>
        </w:rPr>
      </w:pPr>
      <w:r w:rsidRPr="00E50055">
        <w:rPr>
          <w:bCs/>
        </w:rPr>
        <w:t>Показатели</w:t>
      </w:r>
      <w:r w:rsidRPr="00E50055">
        <w:rPr>
          <w:bCs/>
        </w:rPr>
        <w:br/>
        <w:t xml:space="preserve">размера вреда, причиняемого транспортными средствами, осуществляющими перевозки тяжеловесных грузов, при движении таких транспортных средств по автомобильным дорогам </w:t>
      </w:r>
      <w:r w:rsidR="00EA4358">
        <w:rPr>
          <w:bCs/>
        </w:rPr>
        <w:t xml:space="preserve">общего пользования местного </w:t>
      </w:r>
      <w:r w:rsidRPr="00E50055">
        <w:rPr>
          <w:bCs/>
        </w:rPr>
        <w:t xml:space="preserve"> значения </w:t>
      </w:r>
      <w:r w:rsidR="00EA4358">
        <w:rPr>
          <w:bCs/>
        </w:rPr>
        <w:t>в границах населенных пунктов Октябрьского сельского поселения</w:t>
      </w:r>
    </w:p>
    <w:p w:rsidR="009058B2" w:rsidRPr="00E50055" w:rsidRDefault="009058B2" w:rsidP="00E50055">
      <w:pPr>
        <w:ind w:firstLine="698"/>
        <w:jc w:val="right"/>
        <w:rPr>
          <w:bCs/>
        </w:rPr>
      </w:pPr>
      <w:bookmarkStart w:id="5" w:name="sub_100"/>
      <w:r w:rsidRPr="00E50055">
        <w:rPr>
          <w:bCs/>
        </w:rPr>
        <w:t>Таблица 1</w:t>
      </w:r>
      <w:bookmarkEnd w:id="5"/>
    </w:p>
    <w:p w:rsidR="009058B2" w:rsidRPr="00E50055" w:rsidRDefault="009058B2" w:rsidP="00E50055">
      <w:pPr>
        <w:jc w:val="center"/>
        <w:rPr>
          <w:bCs/>
        </w:rPr>
      </w:pPr>
      <w:r w:rsidRPr="00E50055">
        <w:rPr>
          <w:bCs/>
        </w:rPr>
        <w:t>Размер</w:t>
      </w:r>
      <w:r w:rsidRPr="00E50055">
        <w:rPr>
          <w:bCs/>
        </w:rPr>
        <w:br/>
        <w:t>вреда при превышении значения предельно допустимой массы транспортного средства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90"/>
        <w:gridCol w:w="4980"/>
      </w:tblGrid>
      <w:tr w:rsidR="00E50055" w:rsidRPr="00E50055" w:rsidTr="009058B2"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058B2" w:rsidRPr="00E50055" w:rsidRDefault="009058B2" w:rsidP="00E50055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en-US" w:bidi="ru-RU"/>
              </w:rPr>
            </w:pPr>
            <w:r w:rsidRPr="00E50055">
              <w:rPr>
                <w:sz w:val="22"/>
                <w:szCs w:val="22"/>
                <w:lang w:eastAsia="en-US"/>
              </w:rPr>
              <w:t>Превышение предельно допустимой массы транспортного средства (тонн)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058B2" w:rsidRPr="00E50055" w:rsidRDefault="009058B2" w:rsidP="00E50055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en-US" w:bidi="ru-RU"/>
              </w:rPr>
            </w:pPr>
            <w:r w:rsidRPr="00E50055">
              <w:rPr>
                <w:sz w:val="22"/>
                <w:szCs w:val="22"/>
                <w:lang w:eastAsia="en-US"/>
              </w:rPr>
              <w:t>Размер вреда (рублей на 100 км)</w:t>
            </w:r>
          </w:p>
        </w:tc>
      </w:tr>
      <w:tr w:rsidR="00E50055" w:rsidRPr="00E50055" w:rsidTr="009058B2"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058B2" w:rsidRPr="00E50055" w:rsidRDefault="009058B2" w:rsidP="00E50055">
            <w:pPr>
              <w:rPr>
                <w:rFonts w:eastAsia="Arial"/>
                <w:lang w:eastAsia="en-US" w:bidi="ru-RU"/>
              </w:rPr>
            </w:pPr>
            <w:r w:rsidRPr="00E50055">
              <w:rPr>
                <w:lang w:eastAsia="en-US"/>
              </w:rPr>
              <w:t>До 5</w:t>
            </w:r>
          </w:p>
          <w:p w:rsidR="009058B2" w:rsidRPr="00E50055" w:rsidRDefault="009058B2" w:rsidP="00E50055">
            <w:pPr>
              <w:rPr>
                <w:lang w:eastAsia="en-US"/>
              </w:rPr>
            </w:pPr>
            <w:r w:rsidRPr="00E50055">
              <w:rPr>
                <w:lang w:eastAsia="en-US"/>
              </w:rPr>
              <w:t>Свыше 5 до 7</w:t>
            </w:r>
          </w:p>
          <w:p w:rsidR="009058B2" w:rsidRPr="00E50055" w:rsidRDefault="009058B2" w:rsidP="00E50055">
            <w:pPr>
              <w:rPr>
                <w:lang w:eastAsia="en-US"/>
              </w:rPr>
            </w:pPr>
            <w:r w:rsidRPr="00E50055">
              <w:rPr>
                <w:lang w:eastAsia="en-US"/>
              </w:rPr>
              <w:t>Свыше 7 до 10</w:t>
            </w:r>
          </w:p>
          <w:p w:rsidR="009058B2" w:rsidRPr="00E50055" w:rsidRDefault="009058B2" w:rsidP="00E50055">
            <w:pPr>
              <w:rPr>
                <w:lang w:eastAsia="en-US"/>
              </w:rPr>
            </w:pPr>
            <w:r w:rsidRPr="00E50055">
              <w:rPr>
                <w:lang w:eastAsia="en-US"/>
              </w:rPr>
              <w:t>Свыше 10 до 15</w:t>
            </w:r>
          </w:p>
          <w:p w:rsidR="009058B2" w:rsidRPr="00E50055" w:rsidRDefault="009058B2" w:rsidP="00E50055">
            <w:pPr>
              <w:rPr>
                <w:lang w:eastAsia="en-US"/>
              </w:rPr>
            </w:pPr>
            <w:r w:rsidRPr="00E50055">
              <w:rPr>
                <w:lang w:eastAsia="en-US"/>
              </w:rPr>
              <w:t>Свыше 15 до 20</w:t>
            </w:r>
          </w:p>
          <w:p w:rsidR="009058B2" w:rsidRPr="00E50055" w:rsidRDefault="009058B2" w:rsidP="00E50055">
            <w:pPr>
              <w:rPr>
                <w:lang w:eastAsia="en-US"/>
              </w:rPr>
            </w:pPr>
            <w:r w:rsidRPr="00E50055">
              <w:rPr>
                <w:lang w:eastAsia="en-US"/>
              </w:rPr>
              <w:t>Свыше 20 до 25</w:t>
            </w:r>
          </w:p>
          <w:p w:rsidR="009058B2" w:rsidRPr="00E50055" w:rsidRDefault="009058B2" w:rsidP="00E50055">
            <w:pPr>
              <w:rPr>
                <w:lang w:eastAsia="en-US"/>
              </w:rPr>
            </w:pPr>
            <w:r w:rsidRPr="00E50055">
              <w:rPr>
                <w:lang w:eastAsia="en-US"/>
              </w:rPr>
              <w:t>Свыше 25 до 30</w:t>
            </w:r>
          </w:p>
          <w:p w:rsidR="009058B2" w:rsidRPr="00E50055" w:rsidRDefault="009058B2" w:rsidP="00E50055">
            <w:pPr>
              <w:rPr>
                <w:lang w:eastAsia="en-US"/>
              </w:rPr>
            </w:pPr>
            <w:r w:rsidRPr="00E50055">
              <w:rPr>
                <w:lang w:eastAsia="en-US"/>
              </w:rPr>
              <w:t>Свыше 30 до 35</w:t>
            </w:r>
          </w:p>
          <w:p w:rsidR="009058B2" w:rsidRPr="00E50055" w:rsidRDefault="009058B2" w:rsidP="00E50055">
            <w:pPr>
              <w:rPr>
                <w:lang w:eastAsia="en-US"/>
              </w:rPr>
            </w:pPr>
            <w:r w:rsidRPr="00E50055">
              <w:rPr>
                <w:lang w:eastAsia="en-US"/>
              </w:rPr>
              <w:t>Свыше 35 до 40</w:t>
            </w:r>
          </w:p>
          <w:p w:rsidR="009058B2" w:rsidRPr="00E50055" w:rsidRDefault="009058B2" w:rsidP="00E50055">
            <w:pPr>
              <w:rPr>
                <w:lang w:eastAsia="en-US"/>
              </w:rPr>
            </w:pPr>
            <w:r w:rsidRPr="00E50055">
              <w:rPr>
                <w:lang w:eastAsia="en-US"/>
              </w:rPr>
              <w:t>Свыше 40 до 45</w:t>
            </w:r>
          </w:p>
          <w:p w:rsidR="009058B2" w:rsidRPr="00E50055" w:rsidRDefault="009058B2" w:rsidP="00E50055">
            <w:pPr>
              <w:rPr>
                <w:lang w:eastAsia="en-US"/>
              </w:rPr>
            </w:pPr>
            <w:r w:rsidRPr="00E50055">
              <w:rPr>
                <w:lang w:eastAsia="en-US"/>
              </w:rPr>
              <w:t>Свыше 45 до 50</w:t>
            </w:r>
          </w:p>
          <w:p w:rsidR="009058B2" w:rsidRPr="00E50055" w:rsidRDefault="009058B2" w:rsidP="00E50055">
            <w:pPr>
              <w:widowControl w:val="0"/>
              <w:suppressAutoHyphens/>
              <w:autoSpaceDE w:val="0"/>
              <w:rPr>
                <w:rFonts w:eastAsia="Arial"/>
                <w:lang w:eastAsia="en-US" w:bidi="ru-RU"/>
              </w:rPr>
            </w:pPr>
            <w:r w:rsidRPr="00E50055">
              <w:rPr>
                <w:lang w:eastAsia="en-US"/>
              </w:rPr>
              <w:t>Свыше 50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058B2" w:rsidRPr="00E50055" w:rsidRDefault="009058B2" w:rsidP="00E50055">
            <w:pPr>
              <w:rPr>
                <w:rFonts w:eastAsia="Arial"/>
                <w:lang w:eastAsia="en-US" w:bidi="ru-RU"/>
              </w:rPr>
            </w:pPr>
            <w:r w:rsidRPr="00E50055">
              <w:rPr>
                <w:lang w:eastAsia="en-US"/>
              </w:rPr>
              <w:t>240</w:t>
            </w:r>
          </w:p>
          <w:p w:rsidR="009058B2" w:rsidRPr="00E50055" w:rsidRDefault="009058B2" w:rsidP="00E50055">
            <w:pPr>
              <w:rPr>
                <w:lang w:eastAsia="en-US"/>
              </w:rPr>
            </w:pPr>
            <w:r w:rsidRPr="00E50055">
              <w:rPr>
                <w:lang w:eastAsia="en-US"/>
              </w:rPr>
              <w:t>285</w:t>
            </w:r>
          </w:p>
          <w:p w:rsidR="009058B2" w:rsidRPr="00E50055" w:rsidRDefault="009058B2" w:rsidP="00E50055">
            <w:pPr>
              <w:rPr>
                <w:lang w:eastAsia="en-US"/>
              </w:rPr>
            </w:pPr>
            <w:r w:rsidRPr="00E50055">
              <w:rPr>
                <w:lang w:eastAsia="en-US"/>
              </w:rPr>
              <w:t>395</w:t>
            </w:r>
          </w:p>
          <w:p w:rsidR="009058B2" w:rsidRPr="00E50055" w:rsidRDefault="009058B2" w:rsidP="00E50055">
            <w:pPr>
              <w:rPr>
                <w:lang w:eastAsia="en-US"/>
              </w:rPr>
            </w:pPr>
            <w:r w:rsidRPr="00E50055">
              <w:rPr>
                <w:lang w:eastAsia="en-US"/>
              </w:rPr>
              <w:t>550</w:t>
            </w:r>
          </w:p>
          <w:p w:rsidR="009058B2" w:rsidRPr="00E50055" w:rsidRDefault="009058B2" w:rsidP="00E50055">
            <w:pPr>
              <w:rPr>
                <w:lang w:eastAsia="en-US"/>
              </w:rPr>
            </w:pPr>
            <w:r w:rsidRPr="00E50055">
              <w:rPr>
                <w:lang w:eastAsia="en-US"/>
              </w:rPr>
              <w:t>760</w:t>
            </w:r>
          </w:p>
          <w:p w:rsidR="009058B2" w:rsidRPr="00E50055" w:rsidRDefault="009058B2" w:rsidP="00E50055">
            <w:pPr>
              <w:rPr>
                <w:lang w:eastAsia="en-US"/>
              </w:rPr>
            </w:pPr>
            <w:r w:rsidRPr="00E50055">
              <w:rPr>
                <w:lang w:eastAsia="en-US"/>
              </w:rPr>
              <w:t>1035</w:t>
            </w:r>
          </w:p>
          <w:p w:rsidR="009058B2" w:rsidRPr="00E50055" w:rsidRDefault="009058B2" w:rsidP="00E50055">
            <w:pPr>
              <w:rPr>
                <w:lang w:eastAsia="en-US"/>
              </w:rPr>
            </w:pPr>
            <w:r w:rsidRPr="00E50055">
              <w:rPr>
                <w:lang w:eastAsia="en-US"/>
              </w:rPr>
              <w:t>1365</w:t>
            </w:r>
          </w:p>
          <w:p w:rsidR="009058B2" w:rsidRPr="00E50055" w:rsidRDefault="009058B2" w:rsidP="00E50055">
            <w:pPr>
              <w:rPr>
                <w:lang w:eastAsia="en-US"/>
              </w:rPr>
            </w:pPr>
            <w:r w:rsidRPr="00E50055">
              <w:rPr>
                <w:lang w:eastAsia="en-US"/>
              </w:rPr>
              <w:t>1730</w:t>
            </w:r>
          </w:p>
          <w:p w:rsidR="009058B2" w:rsidRPr="00E50055" w:rsidRDefault="009058B2" w:rsidP="00E50055">
            <w:pPr>
              <w:rPr>
                <w:lang w:eastAsia="en-US"/>
              </w:rPr>
            </w:pPr>
            <w:r w:rsidRPr="00E50055">
              <w:rPr>
                <w:lang w:eastAsia="en-US"/>
              </w:rPr>
              <w:t>2155</w:t>
            </w:r>
          </w:p>
          <w:p w:rsidR="009058B2" w:rsidRPr="00E50055" w:rsidRDefault="009058B2" w:rsidP="00E50055">
            <w:pPr>
              <w:rPr>
                <w:lang w:eastAsia="en-US"/>
              </w:rPr>
            </w:pPr>
            <w:r w:rsidRPr="00E50055">
              <w:rPr>
                <w:lang w:eastAsia="en-US"/>
              </w:rPr>
              <w:t>2670</w:t>
            </w:r>
          </w:p>
          <w:p w:rsidR="009058B2" w:rsidRPr="00E50055" w:rsidRDefault="009058B2" w:rsidP="00E50055">
            <w:pPr>
              <w:rPr>
                <w:lang w:eastAsia="en-US"/>
              </w:rPr>
            </w:pPr>
            <w:r w:rsidRPr="00E50055">
              <w:rPr>
                <w:lang w:eastAsia="en-US"/>
              </w:rPr>
              <w:t>3255</w:t>
            </w:r>
          </w:p>
          <w:p w:rsidR="009058B2" w:rsidRPr="00E50055" w:rsidRDefault="009058B2" w:rsidP="00E50055">
            <w:pPr>
              <w:widowControl w:val="0"/>
              <w:suppressAutoHyphens/>
              <w:autoSpaceDE w:val="0"/>
              <w:rPr>
                <w:rFonts w:eastAsia="Arial"/>
                <w:lang w:eastAsia="en-US" w:bidi="ru-RU"/>
              </w:rPr>
            </w:pPr>
            <w:r w:rsidRPr="00E50055">
              <w:rPr>
                <w:lang w:eastAsia="en-US"/>
              </w:rPr>
              <w:t xml:space="preserve">по отдельному расчету </w:t>
            </w:r>
            <w:hyperlink r:id="rId11" w:anchor="sub_91" w:history="1">
              <w:r w:rsidRPr="00E50055">
                <w:rPr>
                  <w:rStyle w:val="a9"/>
                  <w:color w:val="auto"/>
                  <w:lang w:eastAsia="en-US"/>
                </w:rPr>
                <w:t>*</w:t>
              </w:r>
            </w:hyperlink>
          </w:p>
        </w:tc>
      </w:tr>
    </w:tbl>
    <w:p w:rsidR="009058B2" w:rsidRPr="00E50055" w:rsidRDefault="009058B2" w:rsidP="00E50055">
      <w:pPr>
        <w:jc w:val="both"/>
        <w:rPr>
          <w:rFonts w:eastAsia="Arial"/>
          <w:lang w:bidi="ru-RU"/>
        </w:rPr>
      </w:pPr>
    </w:p>
    <w:p w:rsidR="009058B2" w:rsidRPr="00E50055" w:rsidRDefault="009058B2" w:rsidP="00E50055">
      <w:pPr>
        <w:ind w:firstLine="698"/>
        <w:jc w:val="right"/>
        <w:rPr>
          <w:bCs/>
        </w:rPr>
      </w:pPr>
      <w:bookmarkStart w:id="6" w:name="sub_200"/>
      <w:r w:rsidRPr="00E50055">
        <w:rPr>
          <w:bCs/>
        </w:rPr>
        <w:t>Таблица 2</w:t>
      </w:r>
      <w:bookmarkEnd w:id="6"/>
    </w:p>
    <w:p w:rsidR="009058B2" w:rsidRPr="00E50055" w:rsidRDefault="009058B2" w:rsidP="00E50055">
      <w:pPr>
        <w:jc w:val="center"/>
        <w:rPr>
          <w:bCs/>
        </w:rPr>
      </w:pPr>
      <w:r w:rsidRPr="00E50055">
        <w:rPr>
          <w:bCs/>
        </w:rPr>
        <w:t>Размер</w:t>
      </w:r>
      <w:r w:rsidRPr="00E50055">
        <w:rPr>
          <w:bCs/>
        </w:rPr>
        <w:br/>
        <w:t>вреда при превышении значений предельно допустимых осевых нагрузок на каждую ось транспортного средства</w:t>
      </w:r>
    </w:p>
    <w:tbl>
      <w:tblPr>
        <w:tblW w:w="95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4041"/>
      </w:tblGrid>
      <w:tr w:rsidR="00E50055" w:rsidRPr="00E50055" w:rsidTr="00E50055"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058B2" w:rsidRPr="00E50055" w:rsidRDefault="009058B2" w:rsidP="00E50055">
            <w:pPr>
              <w:jc w:val="center"/>
              <w:rPr>
                <w:rFonts w:eastAsia="Arial"/>
                <w:sz w:val="20"/>
                <w:szCs w:val="20"/>
                <w:lang w:eastAsia="en-US" w:bidi="ru-RU"/>
              </w:rPr>
            </w:pPr>
            <w:r w:rsidRPr="00E50055">
              <w:rPr>
                <w:sz w:val="20"/>
                <w:szCs w:val="20"/>
                <w:lang w:eastAsia="en-US"/>
              </w:rPr>
              <w:t>Превышение предельно</w:t>
            </w:r>
          </w:p>
          <w:p w:rsidR="009058B2" w:rsidRPr="00E50055" w:rsidRDefault="009058B2" w:rsidP="00E50055">
            <w:pPr>
              <w:jc w:val="center"/>
              <w:rPr>
                <w:sz w:val="20"/>
                <w:szCs w:val="20"/>
                <w:lang w:eastAsia="en-US"/>
              </w:rPr>
            </w:pPr>
            <w:r w:rsidRPr="00E50055">
              <w:rPr>
                <w:sz w:val="20"/>
                <w:szCs w:val="20"/>
                <w:lang w:eastAsia="en-US"/>
              </w:rPr>
              <w:t>допустимых осевых нагрузок на ось транспортного средства</w:t>
            </w:r>
          </w:p>
          <w:p w:rsidR="009058B2" w:rsidRPr="00E50055" w:rsidRDefault="009058B2" w:rsidP="00E50055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en-US" w:bidi="ru-RU"/>
              </w:rPr>
            </w:pPr>
            <w:r w:rsidRPr="00E50055">
              <w:rPr>
                <w:sz w:val="20"/>
                <w:szCs w:val="20"/>
                <w:lang w:eastAsia="en-US"/>
              </w:rPr>
              <w:t>(процентов)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058B2" w:rsidRPr="00E50055" w:rsidRDefault="009058B2" w:rsidP="00E50055">
            <w:pPr>
              <w:jc w:val="center"/>
              <w:rPr>
                <w:rFonts w:eastAsia="Arial"/>
                <w:sz w:val="20"/>
                <w:szCs w:val="20"/>
                <w:lang w:eastAsia="en-US" w:bidi="ru-RU"/>
              </w:rPr>
            </w:pPr>
            <w:r w:rsidRPr="00E50055">
              <w:rPr>
                <w:sz w:val="20"/>
                <w:szCs w:val="20"/>
                <w:lang w:eastAsia="en-US"/>
              </w:rPr>
              <w:t>Размер вреда</w:t>
            </w:r>
          </w:p>
          <w:p w:rsidR="009058B2" w:rsidRPr="00E50055" w:rsidRDefault="009058B2" w:rsidP="00E50055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en-US" w:bidi="ru-RU"/>
              </w:rPr>
            </w:pPr>
            <w:r w:rsidRPr="00E50055">
              <w:rPr>
                <w:sz w:val="20"/>
                <w:szCs w:val="20"/>
                <w:lang w:eastAsia="en-US"/>
              </w:rPr>
              <w:t>(рублей на 100 км)</w:t>
            </w:r>
          </w:p>
        </w:tc>
        <w:tc>
          <w:tcPr>
            <w:tcW w:w="4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058B2" w:rsidRPr="00E50055" w:rsidRDefault="009058B2" w:rsidP="00E50055">
            <w:pPr>
              <w:jc w:val="center"/>
              <w:rPr>
                <w:rFonts w:eastAsia="Arial"/>
                <w:sz w:val="20"/>
                <w:szCs w:val="20"/>
                <w:lang w:eastAsia="en-US" w:bidi="ru-RU"/>
              </w:rPr>
            </w:pPr>
            <w:r w:rsidRPr="00E50055">
              <w:rPr>
                <w:sz w:val="20"/>
                <w:szCs w:val="20"/>
                <w:lang w:eastAsia="en-US"/>
              </w:rPr>
              <w:t>Размер вреда в период временных ограничений в</w:t>
            </w:r>
          </w:p>
          <w:p w:rsidR="009058B2" w:rsidRPr="00E50055" w:rsidRDefault="009058B2" w:rsidP="00E50055">
            <w:pPr>
              <w:jc w:val="center"/>
              <w:rPr>
                <w:sz w:val="20"/>
                <w:szCs w:val="20"/>
                <w:lang w:eastAsia="en-US"/>
              </w:rPr>
            </w:pPr>
            <w:r w:rsidRPr="00E50055">
              <w:rPr>
                <w:sz w:val="20"/>
                <w:szCs w:val="20"/>
                <w:lang w:eastAsia="en-US"/>
              </w:rPr>
              <w:t>связи с неблагоприятными</w:t>
            </w:r>
          </w:p>
          <w:p w:rsidR="009058B2" w:rsidRPr="00E50055" w:rsidRDefault="009058B2" w:rsidP="00E50055">
            <w:pPr>
              <w:jc w:val="center"/>
              <w:rPr>
                <w:sz w:val="20"/>
                <w:szCs w:val="20"/>
                <w:lang w:eastAsia="en-US"/>
              </w:rPr>
            </w:pPr>
            <w:r w:rsidRPr="00E50055">
              <w:rPr>
                <w:sz w:val="20"/>
                <w:szCs w:val="20"/>
                <w:lang w:eastAsia="en-US"/>
              </w:rPr>
              <w:t>природно-климатическими</w:t>
            </w:r>
          </w:p>
          <w:p w:rsidR="009058B2" w:rsidRPr="00E50055" w:rsidRDefault="009058B2" w:rsidP="00E50055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en-US" w:bidi="ru-RU"/>
              </w:rPr>
            </w:pPr>
            <w:r w:rsidRPr="00E50055">
              <w:rPr>
                <w:sz w:val="20"/>
                <w:szCs w:val="20"/>
                <w:lang w:eastAsia="en-US"/>
              </w:rPr>
              <w:t>условиями (рублей на 100 км)</w:t>
            </w:r>
          </w:p>
        </w:tc>
      </w:tr>
      <w:tr w:rsidR="00E50055" w:rsidRPr="00E50055" w:rsidTr="00E50055"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058B2" w:rsidRPr="00E50055" w:rsidRDefault="009058B2" w:rsidP="00E50055">
            <w:pPr>
              <w:rPr>
                <w:rFonts w:eastAsia="Arial"/>
                <w:lang w:eastAsia="en-US" w:bidi="ru-RU"/>
              </w:rPr>
            </w:pPr>
            <w:r w:rsidRPr="00E50055">
              <w:rPr>
                <w:lang w:eastAsia="en-US"/>
              </w:rPr>
              <w:t>До 10</w:t>
            </w:r>
          </w:p>
          <w:p w:rsidR="009058B2" w:rsidRPr="00E50055" w:rsidRDefault="009058B2" w:rsidP="00E50055">
            <w:pPr>
              <w:rPr>
                <w:lang w:eastAsia="en-US"/>
              </w:rPr>
            </w:pPr>
            <w:r w:rsidRPr="00E50055">
              <w:rPr>
                <w:lang w:eastAsia="en-US"/>
              </w:rPr>
              <w:t>Свыше 10 до 20</w:t>
            </w:r>
          </w:p>
          <w:p w:rsidR="009058B2" w:rsidRPr="00E50055" w:rsidRDefault="009058B2" w:rsidP="00E50055">
            <w:pPr>
              <w:rPr>
                <w:lang w:eastAsia="en-US"/>
              </w:rPr>
            </w:pPr>
            <w:r w:rsidRPr="00E50055">
              <w:rPr>
                <w:lang w:eastAsia="en-US"/>
              </w:rPr>
              <w:t>Свыше 20 до 30</w:t>
            </w:r>
          </w:p>
          <w:p w:rsidR="009058B2" w:rsidRPr="00E50055" w:rsidRDefault="009058B2" w:rsidP="00E50055">
            <w:pPr>
              <w:rPr>
                <w:lang w:eastAsia="en-US"/>
              </w:rPr>
            </w:pPr>
            <w:r w:rsidRPr="00E50055">
              <w:rPr>
                <w:lang w:eastAsia="en-US"/>
              </w:rPr>
              <w:t>Свыше 30 до 40</w:t>
            </w:r>
          </w:p>
          <w:p w:rsidR="009058B2" w:rsidRPr="00E50055" w:rsidRDefault="009058B2" w:rsidP="00E50055">
            <w:pPr>
              <w:rPr>
                <w:lang w:eastAsia="en-US"/>
              </w:rPr>
            </w:pPr>
            <w:r w:rsidRPr="00E50055">
              <w:rPr>
                <w:lang w:eastAsia="en-US"/>
              </w:rPr>
              <w:t>Свыше 40 до 50</w:t>
            </w:r>
          </w:p>
          <w:p w:rsidR="009058B2" w:rsidRPr="00E50055" w:rsidRDefault="009058B2" w:rsidP="00E50055">
            <w:pPr>
              <w:rPr>
                <w:lang w:eastAsia="en-US"/>
              </w:rPr>
            </w:pPr>
            <w:r w:rsidRPr="00E50055">
              <w:rPr>
                <w:lang w:eastAsia="en-US"/>
              </w:rPr>
              <w:t>Свыше 50 до 60</w:t>
            </w:r>
          </w:p>
          <w:p w:rsidR="009058B2" w:rsidRPr="00E50055" w:rsidRDefault="009058B2" w:rsidP="00E50055">
            <w:pPr>
              <w:widowControl w:val="0"/>
              <w:suppressAutoHyphens/>
              <w:autoSpaceDE w:val="0"/>
              <w:rPr>
                <w:rFonts w:eastAsia="Arial"/>
                <w:lang w:eastAsia="en-US" w:bidi="ru-RU"/>
              </w:rPr>
            </w:pPr>
            <w:r w:rsidRPr="00E50055">
              <w:rPr>
                <w:lang w:eastAsia="en-US"/>
              </w:rPr>
              <w:t>Свыше 60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058B2" w:rsidRPr="00E50055" w:rsidRDefault="009058B2" w:rsidP="00E50055">
            <w:pPr>
              <w:rPr>
                <w:rFonts w:eastAsia="Arial"/>
                <w:lang w:eastAsia="en-US" w:bidi="ru-RU"/>
              </w:rPr>
            </w:pPr>
            <w:r w:rsidRPr="00E50055">
              <w:rPr>
                <w:lang w:eastAsia="en-US"/>
              </w:rPr>
              <w:t>925</w:t>
            </w:r>
          </w:p>
          <w:p w:rsidR="009058B2" w:rsidRPr="00E50055" w:rsidRDefault="009058B2" w:rsidP="00E50055">
            <w:pPr>
              <w:rPr>
                <w:lang w:eastAsia="en-US"/>
              </w:rPr>
            </w:pPr>
            <w:r w:rsidRPr="00E50055">
              <w:rPr>
                <w:lang w:eastAsia="en-US"/>
              </w:rPr>
              <w:t>1120</w:t>
            </w:r>
          </w:p>
          <w:p w:rsidR="009058B2" w:rsidRPr="00E50055" w:rsidRDefault="009058B2" w:rsidP="00E50055">
            <w:pPr>
              <w:rPr>
                <w:lang w:eastAsia="en-US"/>
              </w:rPr>
            </w:pPr>
            <w:r w:rsidRPr="00E50055">
              <w:rPr>
                <w:lang w:eastAsia="en-US"/>
              </w:rPr>
              <w:t>2000</w:t>
            </w:r>
          </w:p>
          <w:p w:rsidR="009058B2" w:rsidRPr="00E50055" w:rsidRDefault="009058B2" w:rsidP="00E50055">
            <w:pPr>
              <w:rPr>
                <w:lang w:eastAsia="en-US"/>
              </w:rPr>
            </w:pPr>
            <w:r w:rsidRPr="00E50055">
              <w:rPr>
                <w:lang w:eastAsia="en-US"/>
              </w:rPr>
              <w:t>3125</w:t>
            </w:r>
          </w:p>
          <w:p w:rsidR="009058B2" w:rsidRPr="00E50055" w:rsidRDefault="009058B2" w:rsidP="00E50055">
            <w:pPr>
              <w:rPr>
                <w:lang w:eastAsia="en-US"/>
              </w:rPr>
            </w:pPr>
            <w:r w:rsidRPr="00E50055">
              <w:rPr>
                <w:lang w:eastAsia="en-US"/>
              </w:rPr>
              <w:t>4105</w:t>
            </w:r>
          </w:p>
          <w:p w:rsidR="009058B2" w:rsidRPr="00E50055" w:rsidRDefault="009058B2" w:rsidP="00E50055">
            <w:pPr>
              <w:rPr>
                <w:lang w:eastAsia="en-US"/>
              </w:rPr>
            </w:pPr>
            <w:r w:rsidRPr="00E50055">
              <w:rPr>
                <w:lang w:eastAsia="en-US"/>
              </w:rPr>
              <w:t>5215</w:t>
            </w:r>
          </w:p>
          <w:p w:rsidR="009058B2" w:rsidRPr="00E50055" w:rsidRDefault="009058B2" w:rsidP="00E50055">
            <w:pPr>
              <w:widowControl w:val="0"/>
              <w:suppressAutoHyphens/>
              <w:autoSpaceDE w:val="0"/>
              <w:rPr>
                <w:rFonts w:eastAsia="Arial"/>
                <w:lang w:eastAsia="en-US" w:bidi="ru-RU"/>
              </w:rPr>
            </w:pPr>
            <w:r w:rsidRPr="00E50055">
              <w:rPr>
                <w:lang w:eastAsia="en-US"/>
              </w:rPr>
              <w:t xml:space="preserve">по отдельному расчету </w:t>
            </w:r>
            <w:hyperlink r:id="rId12" w:anchor="sub_92" w:history="1">
              <w:r w:rsidRPr="00E50055">
                <w:rPr>
                  <w:rStyle w:val="a9"/>
                  <w:color w:val="auto"/>
                  <w:lang w:eastAsia="en-US"/>
                </w:rPr>
                <w:t>**</w:t>
              </w:r>
            </w:hyperlink>
          </w:p>
        </w:tc>
        <w:tc>
          <w:tcPr>
            <w:tcW w:w="4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058B2" w:rsidRPr="00E50055" w:rsidRDefault="009058B2" w:rsidP="00E50055">
            <w:pPr>
              <w:rPr>
                <w:rFonts w:eastAsia="Arial"/>
                <w:lang w:eastAsia="en-US" w:bidi="ru-RU"/>
              </w:rPr>
            </w:pPr>
            <w:r w:rsidRPr="00E50055">
              <w:rPr>
                <w:lang w:eastAsia="en-US"/>
              </w:rPr>
              <w:t>5260</w:t>
            </w:r>
          </w:p>
          <w:p w:rsidR="009058B2" w:rsidRPr="00E50055" w:rsidRDefault="009058B2" w:rsidP="00E50055">
            <w:pPr>
              <w:rPr>
                <w:lang w:eastAsia="en-US"/>
              </w:rPr>
            </w:pPr>
            <w:r w:rsidRPr="00E50055">
              <w:rPr>
                <w:lang w:eastAsia="en-US"/>
              </w:rPr>
              <w:t>7710</w:t>
            </w:r>
          </w:p>
          <w:p w:rsidR="009058B2" w:rsidRPr="00E50055" w:rsidRDefault="009058B2" w:rsidP="00E50055">
            <w:pPr>
              <w:rPr>
                <w:lang w:eastAsia="en-US"/>
              </w:rPr>
            </w:pPr>
            <w:r w:rsidRPr="00E50055">
              <w:rPr>
                <w:lang w:eastAsia="en-US"/>
              </w:rPr>
              <w:t>10960</w:t>
            </w:r>
          </w:p>
          <w:p w:rsidR="009058B2" w:rsidRPr="00E50055" w:rsidRDefault="009058B2" w:rsidP="00E50055">
            <w:pPr>
              <w:rPr>
                <w:lang w:eastAsia="en-US"/>
              </w:rPr>
            </w:pPr>
            <w:r w:rsidRPr="00E50055">
              <w:rPr>
                <w:lang w:eastAsia="en-US"/>
              </w:rPr>
              <w:t>15190</w:t>
            </w:r>
          </w:p>
          <w:p w:rsidR="009058B2" w:rsidRPr="00E50055" w:rsidRDefault="009058B2" w:rsidP="00E50055">
            <w:pPr>
              <w:rPr>
                <w:lang w:eastAsia="en-US"/>
              </w:rPr>
            </w:pPr>
            <w:r w:rsidRPr="00E50055">
              <w:rPr>
                <w:lang w:eastAsia="en-US"/>
              </w:rPr>
              <w:t>21260</w:t>
            </w:r>
          </w:p>
          <w:p w:rsidR="009058B2" w:rsidRPr="00E50055" w:rsidRDefault="009058B2" w:rsidP="00E50055">
            <w:pPr>
              <w:rPr>
                <w:lang w:eastAsia="en-US"/>
              </w:rPr>
            </w:pPr>
            <w:r w:rsidRPr="00E50055">
              <w:rPr>
                <w:lang w:eastAsia="en-US"/>
              </w:rPr>
              <w:t>27330</w:t>
            </w:r>
          </w:p>
          <w:p w:rsidR="009058B2" w:rsidRPr="00E50055" w:rsidRDefault="009058B2" w:rsidP="00E50055">
            <w:pPr>
              <w:widowControl w:val="0"/>
              <w:suppressAutoHyphens/>
              <w:autoSpaceDE w:val="0"/>
              <w:rPr>
                <w:rFonts w:eastAsia="Arial"/>
                <w:lang w:eastAsia="en-US" w:bidi="ru-RU"/>
              </w:rPr>
            </w:pPr>
            <w:r w:rsidRPr="00E50055">
              <w:rPr>
                <w:lang w:eastAsia="en-US"/>
              </w:rPr>
              <w:t xml:space="preserve">по отдельному расчету </w:t>
            </w:r>
            <w:hyperlink r:id="rId13" w:anchor="sub_92" w:history="1">
              <w:r w:rsidRPr="00E50055">
                <w:rPr>
                  <w:rStyle w:val="a9"/>
                  <w:color w:val="auto"/>
                  <w:lang w:eastAsia="en-US"/>
                </w:rPr>
                <w:t>**</w:t>
              </w:r>
            </w:hyperlink>
          </w:p>
        </w:tc>
      </w:tr>
    </w:tbl>
    <w:p w:rsidR="009058B2" w:rsidRPr="00E50055" w:rsidRDefault="009058B2" w:rsidP="00E50055">
      <w:pPr>
        <w:jc w:val="both"/>
        <w:rPr>
          <w:rFonts w:eastAsia="Arial"/>
          <w:lang w:bidi="ru-RU"/>
        </w:rPr>
      </w:pPr>
    </w:p>
    <w:p w:rsidR="009058B2" w:rsidRPr="00E50055" w:rsidRDefault="009058B2" w:rsidP="00E50055">
      <w:pPr>
        <w:ind w:firstLine="720"/>
        <w:jc w:val="both"/>
      </w:pPr>
      <w:bookmarkStart w:id="7" w:name="sub_91"/>
      <w:r w:rsidRPr="00E50055">
        <w:t>* Расчет размера вреда осуществляется с применением метода математической экстраполяции значений размера вреда при превышении значения предельно допустимой массы транспортного средства</w:t>
      </w:r>
    </w:p>
    <w:p w:rsidR="009058B2" w:rsidRPr="00E50055" w:rsidRDefault="009058B2" w:rsidP="00E50055">
      <w:pPr>
        <w:ind w:firstLine="720"/>
        <w:jc w:val="both"/>
      </w:pPr>
      <w:bookmarkStart w:id="8" w:name="sub_92"/>
      <w:bookmarkEnd w:id="7"/>
      <w:r w:rsidRPr="00E50055">
        <w:t>** Расчет размера вреда осуществляется с применением метода математической экстраполяции значений размера вреда при превышении значений предельно допустимых осевых нагрузок на каждую ось транспортного средства</w:t>
      </w:r>
    </w:p>
    <w:bookmarkEnd w:id="8"/>
    <w:p w:rsidR="009058B2" w:rsidRPr="00E50055" w:rsidRDefault="009058B2" w:rsidP="00E50055">
      <w:pPr>
        <w:ind w:firstLine="720"/>
        <w:jc w:val="both"/>
      </w:pPr>
    </w:p>
    <w:p w:rsidR="009058B2" w:rsidRPr="00E50055" w:rsidRDefault="009058B2" w:rsidP="00E50055">
      <w:pPr>
        <w:rPr>
          <w:sz w:val="20"/>
        </w:rPr>
      </w:pPr>
    </w:p>
    <w:p w:rsidR="00B2233C" w:rsidRPr="005834F2" w:rsidRDefault="00B2233C" w:rsidP="00B2233C">
      <w:pPr>
        <w:jc w:val="center"/>
        <w:rPr>
          <w:sz w:val="26"/>
          <w:szCs w:val="28"/>
        </w:rPr>
      </w:pPr>
    </w:p>
    <w:sectPr w:rsidR="00B2233C" w:rsidRPr="005834F2" w:rsidSect="001B5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D5090"/>
    <w:multiLevelType w:val="hybridMultilevel"/>
    <w:tmpl w:val="C4A0D4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11D7C"/>
    <w:multiLevelType w:val="hybridMultilevel"/>
    <w:tmpl w:val="7B525F5C"/>
    <w:lvl w:ilvl="0" w:tplc="0450B04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33C"/>
    <w:rsid w:val="000851F2"/>
    <w:rsid w:val="000E28E1"/>
    <w:rsid w:val="001768BA"/>
    <w:rsid w:val="001A1FA0"/>
    <w:rsid w:val="001B51CA"/>
    <w:rsid w:val="0032648F"/>
    <w:rsid w:val="003A3843"/>
    <w:rsid w:val="00451BD3"/>
    <w:rsid w:val="004946DA"/>
    <w:rsid w:val="005834F2"/>
    <w:rsid w:val="006010F2"/>
    <w:rsid w:val="00674D65"/>
    <w:rsid w:val="006C60E0"/>
    <w:rsid w:val="009058B2"/>
    <w:rsid w:val="00A20141"/>
    <w:rsid w:val="00A96484"/>
    <w:rsid w:val="00AB1FCD"/>
    <w:rsid w:val="00B06845"/>
    <w:rsid w:val="00B2233C"/>
    <w:rsid w:val="00C0593E"/>
    <w:rsid w:val="00DD6F2D"/>
    <w:rsid w:val="00E50055"/>
    <w:rsid w:val="00EA4358"/>
    <w:rsid w:val="00EB7C35"/>
    <w:rsid w:val="00FB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52C1DB-EF93-4B55-8231-F3CF38402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2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2233C"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0"/>
    <w:next w:val="a0"/>
    <w:link w:val="20"/>
    <w:qFormat/>
    <w:rsid w:val="00B2233C"/>
    <w:pPr>
      <w:keepNext/>
      <w:jc w:val="center"/>
      <w:outlineLvl w:val="1"/>
    </w:pPr>
    <w:rPr>
      <w:b/>
      <w:bCs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2233C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B2233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header"/>
    <w:basedOn w:val="a0"/>
    <w:link w:val="a5"/>
    <w:semiHidden/>
    <w:rsid w:val="00B2233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1"/>
    <w:link w:val="a4"/>
    <w:semiHidden/>
    <w:rsid w:val="00B223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Заголовок_пост"/>
    <w:basedOn w:val="a0"/>
    <w:rsid w:val="00B2233C"/>
    <w:pPr>
      <w:tabs>
        <w:tab w:val="left" w:pos="10440"/>
      </w:tabs>
      <w:ind w:left="720" w:right="4627"/>
    </w:pPr>
    <w:rPr>
      <w:sz w:val="26"/>
    </w:rPr>
  </w:style>
  <w:style w:type="paragraph" w:customStyle="1" w:styleId="a">
    <w:name w:val="Пункт_пост"/>
    <w:basedOn w:val="a0"/>
    <w:rsid w:val="00B2233C"/>
    <w:pPr>
      <w:numPr>
        <w:numId w:val="1"/>
      </w:numPr>
      <w:spacing w:before="120"/>
      <w:jc w:val="both"/>
    </w:pPr>
    <w:rPr>
      <w:sz w:val="26"/>
    </w:rPr>
  </w:style>
  <w:style w:type="paragraph" w:styleId="a7">
    <w:name w:val="Balloon Text"/>
    <w:basedOn w:val="a0"/>
    <w:link w:val="a8"/>
    <w:uiPriority w:val="99"/>
    <w:semiHidden/>
    <w:unhideWhenUsed/>
    <w:rsid w:val="00B223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B2233C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semiHidden/>
    <w:unhideWhenUsed/>
    <w:rsid w:val="009058B2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ktyabrsk-pn.ru" TargetMode="External"/><Relationship Id="rId13" Type="http://schemas.openxmlformats.org/officeDocument/2006/relationships/hyperlink" Target="file:///F:\&#1055;&#1086;&#1089;&#1090;&#1072;&#1085;&#1086;&#1074;&#1083;&#1077;&#1085;&#1080;&#1077;%20&#1055;&#1088;&#1072;&#1074;&#1080;&#1090;&#1077;&#1083;&#1100;&#1089;&#1090;&#1074;&#1072;%20&#1042;&#1086;&#1088;&#1086;&#1085;&#1077;&#1078;&#1089;&#1082;&#1086;&#1081;%20&#1086;&#1073;&#1083;&#1072;&#1089;&#1090;&#1080;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F:\&#1055;&#1086;&#1089;&#1090;&#1072;&#1085;&#1086;&#1074;&#1083;&#1077;&#1085;&#1080;&#1077;%20&#1055;&#1088;&#1072;&#1074;&#1080;&#1090;&#1077;&#1083;&#1100;&#1089;&#1090;&#1074;&#1072;%20&#1042;&#1086;&#1088;&#1086;&#1085;&#1077;&#1078;&#1089;&#1082;&#1086;&#1081;%20&#1086;&#1073;&#1083;&#1072;&#1089;&#1090;&#1080;.docx" TargetMode="External"/><Relationship Id="rId12" Type="http://schemas.openxmlformats.org/officeDocument/2006/relationships/hyperlink" Target="file:///F:\&#1055;&#1086;&#1089;&#1090;&#1072;&#1085;&#1086;&#1074;&#1083;&#1077;&#1085;&#1080;&#1077;%20&#1055;&#1088;&#1072;&#1074;&#1080;&#1090;&#1077;&#1083;&#1100;&#1089;&#1090;&#1074;&#1072;%20&#1042;&#1086;&#1088;&#1086;&#1085;&#1077;&#1078;&#1089;&#1082;&#1086;&#1081;%20&#1086;&#1073;&#1083;&#1072;&#1089;&#1090;&#1080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71044.0" TargetMode="External"/><Relationship Id="rId11" Type="http://schemas.openxmlformats.org/officeDocument/2006/relationships/hyperlink" Target="file:///F:\&#1055;&#1086;&#1089;&#1090;&#1072;&#1085;&#1086;&#1074;&#1083;&#1077;&#1085;&#1080;&#1077;%20&#1055;&#1088;&#1072;&#1074;&#1080;&#1090;&#1077;&#1083;&#1100;&#1089;&#1090;&#1074;&#1072;%20&#1042;&#1086;&#1088;&#1086;&#1085;&#1077;&#1078;&#1089;&#1082;&#1086;&#1081;%20&#1086;&#1073;&#1083;&#1072;&#1089;&#1090;&#1080;.docx" TargetMode="External"/><Relationship Id="rId5" Type="http://schemas.openxmlformats.org/officeDocument/2006/relationships/hyperlink" Target="garantf1://12057004.3109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F:\&#1055;&#1086;&#1089;&#1090;&#1072;&#1085;&#1086;&#1074;&#1083;&#1077;&#1085;&#1080;&#1077;%20&#1055;&#1088;&#1072;&#1074;&#1080;&#1090;&#1077;&#1083;&#1100;&#1089;&#1090;&#1074;&#1072;%20&#1042;&#1086;&#1088;&#1086;&#1085;&#1077;&#1078;&#1089;&#1082;&#1086;&#1081;%20&#1086;&#1073;&#1083;&#1072;&#1089;&#1090;&#1080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8129845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Владимирова Елена Борисовна</dc:creator>
  <cp:lastModifiedBy>1</cp:lastModifiedBy>
  <cp:revision>2</cp:revision>
  <cp:lastPrinted>2014-12-18T08:01:00Z</cp:lastPrinted>
  <dcterms:created xsi:type="dcterms:W3CDTF">2024-04-01T13:15:00Z</dcterms:created>
  <dcterms:modified xsi:type="dcterms:W3CDTF">2024-04-01T13:15:00Z</dcterms:modified>
</cp:coreProperties>
</file>